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57B" w:rsidRPr="00B30094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B30094">
        <w:rPr>
          <w:rFonts w:ascii="Times New Roman" w:hAnsi="Times New Roman" w:cs="Times New Roman"/>
          <w:b/>
          <w:sz w:val="24"/>
          <w:szCs w:val="24"/>
          <w:lang w:val="bg-BG"/>
        </w:rPr>
        <w:t xml:space="preserve">МЕТОДИКА ЗА ОЦЕНКА НА ФИНАНСОВИЯ КАПАЦИТЕТ НА </w:t>
      </w:r>
    </w:p>
    <w:p w:rsidR="0090257B" w:rsidRPr="00B30094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b/>
          <w:sz w:val="24"/>
          <w:szCs w:val="24"/>
          <w:lang w:val="bg-BG"/>
        </w:rPr>
        <w:t>КАНДИДАТИТЕ</w:t>
      </w:r>
      <w:r w:rsidR="00F91D12" w:rsidRPr="00B30094">
        <w:rPr>
          <w:rFonts w:ascii="Times New Roman" w:hAnsi="Times New Roman" w:cs="Times New Roman"/>
          <w:b/>
          <w:sz w:val="24"/>
          <w:szCs w:val="24"/>
        </w:rPr>
        <w:t>/</w:t>
      </w:r>
      <w:r w:rsidR="00F91D12" w:rsidRPr="00B3009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ПАРТНЬОРИТЕ </w:t>
      </w:r>
      <w:r w:rsidRPr="00B30094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ПО ОПЕРАТИВНА ПРОГРАМА </w:t>
      </w:r>
    </w:p>
    <w:p w:rsidR="00B938A0" w:rsidRPr="00B30094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b/>
          <w:sz w:val="24"/>
          <w:szCs w:val="24"/>
          <w:lang w:val="bg-BG"/>
        </w:rPr>
        <w:t>„РАЗВИТИЕ НА ЧОВЕШКИТЕ РЕСУРСИ“ 2014 – 2020 Г.</w:t>
      </w:r>
    </w:p>
    <w:p w:rsidR="00F91D12" w:rsidRPr="00B30094" w:rsidRDefault="00F91D12" w:rsidP="00F91D12">
      <w:pPr>
        <w:numPr>
          <w:ilvl w:val="0"/>
          <w:numId w:val="10"/>
        </w:num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:rsidR="00F91D12" w:rsidRPr="00B30094" w:rsidRDefault="00F91D12" w:rsidP="00F91D12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кандидатите по Оперативна Програма „Развитие на Човешките Ресурси“ 2014 – 2020 г. е разработена в изпълнение на член 125, ал. 3, т.(г) от Регламент 1303/2013, член 196, ал. 1 от Регламент 1268/2012 и член 202, ал. 2 и ал. 3 от Регламент 1268/2012.</w:t>
      </w:r>
    </w:p>
    <w:p w:rsidR="00F91D12" w:rsidRPr="00B30094" w:rsidRDefault="00F91D12" w:rsidP="00F91D12">
      <w:pPr>
        <w:numPr>
          <w:ilvl w:val="0"/>
          <w:numId w:val="10"/>
        </w:num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:rsidR="00016062" w:rsidRPr="00B30094" w:rsidRDefault="00016062" w:rsidP="00B30094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>Когато кандидатите/партньорите са различни от общини и не са новосъздадени организации се извършва служебна проверка в Националния статистически институт (НСИ) на данните от счетоводния баланс на организацията за последната финансова година (текуща печалба/загуба, стойност на собствения капитал и стойност на актива). В случай че кандидатът/партньорите не са представили в НСИ финансови отчети за предходната финансова година, следва да приложат счетоводният баланс</w:t>
      </w:r>
      <w:r w:rsidR="00074A0E">
        <w:rPr>
          <w:rFonts w:ascii="Times New Roman" w:hAnsi="Times New Roman" w:cs="Times New Roman"/>
          <w:sz w:val="24"/>
          <w:szCs w:val="24"/>
          <w:lang w:val="bg-BG"/>
        </w:rPr>
        <w:t xml:space="preserve"> за 2019 г.</w:t>
      </w:r>
      <w:r w:rsidRPr="00B30094">
        <w:rPr>
          <w:rFonts w:ascii="Times New Roman" w:hAnsi="Times New Roman" w:cs="Times New Roman"/>
          <w:sz w:val="24"/>
          <w:szCs w:val="24"/>
          <w:lang w:val="bg-BG"/>
        </w:rPr>
        <w:t xml:space="preserve"> в секция 12 на ИСУН 2020 на етап подаване на проектно предложение.</w:t>
      </w:r>
    </w:p>
    <w:p w:rsidR="00016062" w:rsidRPr="00B30094" w:rsidRDefault="00016062" w:rsidP="00B30094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16062" w:rsidRPr="00B30094" w:rsidRDefault="00016062" w:rsidP="00B30094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 xml:space="preserve">Когато кандидатът/партньорът е </w:t>
      </w:r>
      <w:proofErr w:type="spellStart"/>
      <w:r w:rsidRPr="00B30094">
        <w:rPr>
          <w:rFonts w:ascii="Times New Roman" w:hAnsi="Times New Roman" w:cs="Times New Roman"/>
          <w:sz w:val="24"/>
          <w:szCs w:val="24"/>
          <w:lang w:val="bg-BG"/>
        </w:rPr>
        <w:t>новорегистрирана</w:t>
      </w:r>
      <w:proofErr w:type="spellEnd"/>
      <w:r w:rsidRPr="00B30094">
        <w:rPr>
          <w:rFonts w:ascii="Times New Roman" w:hAnsi="Times New Roman" w:cs="Times New Roman"/>
          <w:sz w:val="24"/>
          <w:szCs w:val="24"/>
          <w:lang w:val="bg-BG"/>
        </w:rPr>
        <w:t>/новосъздадена през текущата година организация, следва да приложи в секция 12 на ИСУН 2020 Счетоводен баланс за периода от регистрацията на кандидата/партньора до последната дата на месеца, предхождащ месеца на кандидатстване.</w:t>
      </w:r>
    </w:p>
    <w:p w:rsidR="00016062" w:rsidRPr="00B30094" w:rsidRDefault="00016062" w:rsidP="00B30094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16062" w:rsidRPr="00B30094" w:rsidRDefault="00016062" w:rsidP="00B30094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>Финансовият капацитет се изчислява на база Методика за оценка на финансовия капацитет на кандидатите/партньорите по Оперативна програма „Развитие на човешките ресурси“ 2014 – 2020 г. (Приложение за информация към Условията за кандидатстване.</w:t>
      </w:r>
    </w:p>
    <w:p w:rsidR="00016062" w:rsidRPr="00B30094" w:rsidRDefault="00016062" w:rsidP="00B30094">
      <w:pPr>
        <w:pStyle w:val="a3"/>
        <w:spacing w:before="120" w:after="120"/>
        <w:ind w:left="14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16062" w:rsidRPr="00B30094" w:rsidRDefault="00016062" w:rsidP="00B30094">
      <w:pPr>
        <w:pStyle w:val="a3"/>
        <w:spacing w:before="120" w:after="120"/>
        <w:ind w:left="14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 xml:space="preserve">Когато </w:t>
      </w:r>
      <w:r w:rsidRPr="00B30094">
        <w:rPr>
          <w:rFonts w:ascii="Times New Roman" w:hAnsi="Times New Roman" w:cs="Times New Roman"/>
          <w:b/>
          <w:sz w:val="24"/>
          <w:szCs w:val="24"/>
          <w:lang w:val="bg-BG"/>
        </w:rPr>
        <w:t>кандидатът е община</w:t>
      </w:r>
      <w:r w:rsidRPr="00B30094">
        <w:rPr>
          <w:rFonts w:ascii="Times New Roman" w:hAnsi="Times New Roman" w:cs="Times New Roman"/>
          <w:sz w:val="24"/>
          <w:szCs w:val="24"/>
          <w:lang w:val="bg-BG"/>
        </w:rPr>
        <w:t xml:space="preserve"> - това обстоятелство се проверява служебно от оценителната комисия в Закона за държавния бюджет. Счита се, че организацията разполага с необходимия финансов капацитет, ако утвърдените разходи по бюджета на първостепенния разпоредител за текущата година са по-високи от 20% от размера на исканата БФП.</w:t>
      </w:r>
    </w:p>
    <w:p w:rsidR="00016062" w:rsidRPr="00B30094" w:rsidRDefault="00016062" w:rsidP="00B30094">
      <w:pPr>
        <w:pStyle w:val="a3"/>
        <w:spacing w:before="120" w:after="120"/>
        <w:ind w:left="14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16062" w:rsidRPr="00B30094" w:rsidRDefault="00016062" w:rsidP="00B30094">
      <w:pPr>
        <w:pStyle w:val="a3"/>
        <w:spacing w:before="120" w:after="120"/>
        <w:ind w:left="14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 xml:space="preserve">Когато </w:t>
      </w:r>
      <w:r w:rsidRPr="00B30094">
        <w:rPr>
          <w:rFonts w:ascii="Times New Roman" w:hAnsi="Times New Roman" w:cs="Times New Roman"/>
          <w:b/>
          <w:sz w:val="24"/>
          <w:szCs w:val="24"/>
          <w:lang w:val="bg-BG"/>
        </w:rPr>
        <w:t>партньорът е община</w:t>
      </w:r>
      <w:r w:rsidRPr="00B30094">
        <w:rPr>
          <w:rFonts w:ascii="Times New Roman" w:hAnsi="Times New Roman" w:cs="Times New Roman"/>
          <w:sz w:val="24"/>
          <w:szCs w:val="24"/>
          <w:lang w:val="bg-BG"/>
        </w:rPr>
        <w:t xml:space="preserve"> - това обстоятелство се проверява служебно от оценителната комисия в Закона за държавния бюджет. Счита се, че организацията разполага с необходимия финансов капацитет, ако утвърдените разходи по бюджета на първостепенния разпоредител за текущата година са по-високи от размера на средствата (БФП), които ще разходва партньорът по проекта.</w:t>
      </w:r>
    </w:p>
    <w:p w:rsidR="00F91D12" w:rsidRPr="00B30094" w:rsidRDefault="00F91D12" w:rsidP="00F91D12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F91D12" w:rsidRPr="00B30094" w:rsidRDefault="00F91D12" w:rsidP="00F91D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91D12" w:rsidRPr="00B30094" w:rsidRDefault="00F91D12" w:rsidP="00F91D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91D12" w:rsidRPr="00B30094" w:rsidRDefault="00F91D12" w:rsidP="00F91D12">
      <w:pPr>
        <w:numPr>
          <w:ilvl w:val="0"/>
          <w:numId w:val="10"/>
        </w:num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:rsidR="00F91D12" w:rsidRPr="00B30094" w:rsidRDefault="00F91D12" w:rsidP="00F91D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:rsidR="00F91D12" w:rsidRPr="00B30094" w:rsidRDefault="00F91D12" w:rsidP="00F91D12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>В случай че оценителната комисия установи, че са налице индикации за затруднено финансово положение на кандидата, комисията ще отхвърли проектното предложение на етап „Административно съответствие и допустимост“.</w:t>
      </w:r>
    </w:p>
    <w:p w:rsidR="00F91D12" w:rsidRPr="00B30094" w:rsidRDefault="00F91D12" w:rsidP="00F91D12">
      <w:pPr>
        <w:numPr>
          <w:ilvl w:val="0"/>
          <w:numId w:val="10"/>
        </w:num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методиката</w:t>
      </w:r>
    </w:p>
    <w:p w:rsidR="00F91D12" w:rsidRPr="00B30094" w:rsidRDefault="00F91D12" w:rsidP="00F91D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>Оценката за финансова стабилност дава информация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:rsidR="00F91D12" w:rsidRPr="00B30094" w:rsidRDefault="00F91D12" w:rsidP="00F91D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 xml:space="preserve">Оценката се основава на няколко коефициента: </w:t>
      </w:r>
    </w:p>
    <w:p w:rsidR="00F91D12" w:rsidRPr="00B30094" w:rsidRDefault="00F91D12" w:rsidP="00F91D12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:rsidR="00F91D12" w:rsidRPr="00B30094" w:rsidRDefault="00F91D12" w:rsidP="00F91D12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 xml:space="preserve">коефициент за рентабилност. </w:t>
      </w:r>
    </w:p>
    <w:p w:rsidR="00F91D12" w:rsidRPr="00B30094" w:rsidRDefault="00F91D12" w:rsidP="00F91D12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>Методиката отчита специфичните характеристики на кандидатите и може да бъде използвана за организации с различни юридически форми от търговски дружества до организации с нестопанска цел.</w:t>
      </w:r>
    </w:p>
    <w:p w:rsidR="00F91D12" w:rsidRPr="00B30094" w:rsidRDefault="00F91D12" w:rsidP="00F91D12">
      <w:pPr>
        <w:numPr>
          <w:ilvl w:val="0"/>
          <w:numId w:val="10"/>
        </w:num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:rsidR="00F91D12" w:rsidRPr="00B30094" w:rsidRDefault="00F91D12" w:rsidP="00F91D12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>Коефициентите, които се използват за определяне на нивото на увереност произтичаща от процеса на оценка са следните:</w:t>
      </w:r>
    </w:p>
    <w:p w:rsidR="00F91D12" w:rsidRPr="00B30094" w:rsidRDefault="00F91D12" w:rsidP="00F91D12">
      <w:pPr>
        <w:numPr>
          <w:ilvl w:val="0"/>
          <w:numId w:val="11"/>
        </w:num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 на финансовата стабилност</w:t>
      </w:r>
    </w:p>
    <w:p w:rsidR="00F91D12" w:rsidRPr="00B30094" w:rsidRDefault="00F91D12" w:rsidP="00F91D12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индикатори:</w:t>
      </w:r>
    </w:p>
    <w:p w:rsidR="00F91D12" w:rsidRPr="00B30094" w:rsidRDefault="00F91D12" w:rsidP="00F91D12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bg-BG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val="bg-BG"/>
            </w:rPr>
            <m:t>I.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bg-BG"/>
            </w:rPr>
            <m:t>Финансова независимост=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bg-BG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bg-BG"/>
                </w:rPr>
                <m:t>Собствен капитал (код</m:t>
              </m:r>
              <m:r>
                <w:rPr>
                  <w:rFonts w:ascii="Cambria Math" w:eastAsia="Times New Roman" w:hAnsi="Cambria Math" w:cs="Times New Roman"/>
                  <w:i/>
                  <w:sz w:val="24"/>
                  <w:szCs w:val="24"/>
                  <w:vertAlign w:val="superscript"/>
                  <w:lang w:val="bg-BG"/>
                </w:rPr>
                <w:footnoteReference w:id="1"/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bg-BG"/>
                </w:rPr>
                <m:t xml:space="preserve"> 05000)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bg-BG"/>
                </w:rPr>
                <m:t>Сума на актива (код 04500)</m:t>
              </m:r>
              <m:r>
                <w:rPr>
                  <w:rFonts w:ascii="Cambria Math" w:eastAsia="Times New Roman" w:hAnsi="Cambria Math" w:cs="Times New Roman"/>
                  <w:i/>
                  <w:sz w:val="24"/>
                  <w:szCs w:val="24"/>
                  <w:vertAlign w:val="superscript"/>
                  <w:lang w:val="bg-BG"/>
                </w:rPr>
                <w:footnoteReference w:id="2"/>
              </m:r>
            </m:den>
          </m:f>
        </m:oMath>
      </m:oMathPara>
    </w:p>
    <w:p w:rsidR="00F91D12" w:rsidRPr="00B30094" w:rsidRDefault="00F91D12" w:rsidP="00F91D12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91D12" w:rsidRPr="00B30094" w:rsidRDefault="00F91D12" w:rsidP="00F91D12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eastAsiaTheme="minorEastAsia" w:hAnsi="Times New Roman" w:cs="Times New Roman"/>
          <w:sz w:val="24"/>
          <w:szCs w:val="24"/>
        </w:rPr>
        <w:t>II</w:t>
      </w:r>
      <w:r w:rsidRPr="00B30094">
        <w:rPr>
          <w:rFonts w:ascii="Times New Roman" w:eastAsiaTheme="minorEastAsia" w:hAnsi="Times New Roman" w:cs="Times New Roman"/>
          <w:sz w:val="24"/>
          <w:szCs w:val="24"/>
          <w:lang w:val="bg-BG"/>
        </w:rPr>
        <w:t xml:space="preserve">.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bg-BG"/>
          </w:rPr>
          <m:t>Рентабилност=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bg-BG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bg-BG"/>
              </w:rPr>
              <m:t>Печалба или загуба (код 05600)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bg-BG"/>
              </w:rPr>
              <m:t>Сума на актива (код 04500)</m:t>
            </m:r>
          </m:den>
        </m:f>
      </m:oMath>
    </w:p>
    <w:p w:rsidR="00F91D12" w:rsidRPr="00B30094" w:rsidRDefault="00F91D12" w:rsidP="00F91D12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lastRenderedPageBreak/>
        <w:t>Коефициентът на финансова независимост отразява размера на собствения капитал като отношение към общата сума на активите. Това показва до каква степен организациите зависят от финансиране от трета страна. Колкото е по-близо съотношението до 1, толкова по-финансово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коефициентът на финансова независимост, толкова по-трудно ще бъде да получат кредити и външно финансиране.</w:t>
      </w:r>
    </w:p>
    <w:p w:rsidR="00F91D12" w:rsidRPr="00B30094" w:rsidRDefault="00F91D12" w:rsidP="00F91D12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>Коефициентът на рентабилност измерва ефективността с която организациите използват своите активи.</w:t>
      </w:r>
    </w:p>
    <w:p w:rsidR="00F91D12" w:rsidRPr="00B30094" w:rsidRDefault="00F91D12" w:rsidP="00F91D12">
      <w:pPr>
        <w:numPr>
          <w:ilvl w:val="0"/>
          <w:numId w:val="11"/>
        </w:numPr>
        <w:spacing w:after="120" w:line="360" w:lineRule="auto"/>
        <w:ind w:left="714" w:hanging="357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Оценка</w:t>
      </w:r>
    </w:p>
    <w:p w:rsidR="00F91D12" w:rsidRPr="00B30094" w:rsidRDefault="00F91D12" w:rsidP="00F91D1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>За да бъде определено нивото (лошо или добро) на финансовата стабилност на кандидатите се 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F91D12" w:rsidRPr="00B30094" w:rsidTr="00A348DF">
        <w:tc>
          <w:tcPr>
            <w:tcW w:w="3544" w:type="dxa"/>
            <w:vAlign w:val="center"/>
          </w:tcPr>
          <w:p w:rsidR="00F91D12" w:rsidRPr="00B30094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B300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Индикатори</w:t>
            </w:r>
          </w:p>
        </w:tc>
        <w:tc>
          <w:tcPr>
            <w:tcW w:w="3119" w:type="dxa"/>
            <w:vAlign w:val="center"/>
          </w:tcPr>
          <w:p w:rsidR="00F91D12" w:rsidRPr="00B30094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B300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:rsidR="00F91D12" w:rsidRPr="00B30094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B300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F91D12" w:rsidRPr="00B30094" w:rsidTr="00A348DF">
        <w:tc>
          <w:tcPr>
            <w:tcW w:w="3544" w:type="dxa"/>
            <w:vAlign w:val="center"/>
          </w:tcPr>
          <w:p w:rsidR="00F91D12" w:rsidRPr="00B30094" w:rsidRDefault="00F91D12" w:rsidP="00F91D12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:rsidR="00F91D12" w:rsidRPr="00B30094" w:rsidRDefault="00F91D12" w:rsidP="00F91D12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≥ 0,5</w:t>
            </w:r>
          </w:p>
          <w:p w:rsidR="00F91D12" w:rsidRPr="00B30094" w:rsidRDefault="00F91D12" w:rsidP="00F91D12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0,4 ≤ ФН &lt; 0,5</w:t>
            </w:r>
          </w:p>
          <w:p w:rsidR="00F91D12" w:rsidRPr="00B30094" w:rsidRDefault="00F91D12" w:rsidP="00F91D12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0,3 ≤ ФН &lt; 0,4</w:t>
            </w:r>
          </w:p>
          <w:p w:rsidR="00F91D12" w:rsidRPr="00B30094" w:rsidRDefault="00F91D12" w:rsidP="00F91D12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 ≤ ФН &lt; 0,3</w:t>
            </w:r>
          </w:p>
          <w:p w:rsidR="00F91D12" w:rsidRPr="00B30094" w:rsidRDefault="00F91D12" w:rsidP="00F91D12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:rsidR="00F91D12" w:rsidRPr="00B30094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F91D12" w:rsidRPr="00B30094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:rsidR="00F91D12" w:rsidRPr="00B30094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F91D12" w:rsidRPr="00B30094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:rsidR="00F91D12" w:rsidRPr="00B30094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F91D12" w:rsidRPr="00B30094" w:rsidTr="00A348DF">
        <w:trPr>
          <w:cantSplit/>
        </w:trPr>
        <w:tc>
          <w:tcPr>
            <w:tcW w:w="3544" w:type="dxa"/>
            <w:vAlign w:val="center"/>
          </w:tcPr>
          <w:p w:rsidR="00F91D12" w:rsidRPr="00B30094" w:rsidRDefault="00F91D12" w:rsidP="00F91D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:rsidR="00F91D12" w:rsidRPr="00B30094" w:rsidRDefault="00F91D12" w:rsidP="00F91D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≥ 2%</w:t>
            </w:r>
          </w:p>
          <w:p w:rsidR="00F91D12" w:rsidRPr="00B30094" w:rsidRDefault="00F91D12" w:rsidP="00F91D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&lt; 2%</w:t>
            </w:r>
          </w:p>
          <w:p w:rsidR="00F91D12" w:rsidRPr="00B30094" w:rsidRDefault="00F91D12" w:rsidP="00F91D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&lt; - 2%</w:t>
            </w:r>
          </w:p>
        </w:tc>
        <w:tc>
          <w:tcPr>
            <w:tcW w:w="1700" w:type="dxa"/>
            <w:vAlign w:val="center"/>
          </w:tcPr>
          <w:p w:rsidR="00F91D12" w:rsidRPr="00B30094" w:rsidRDefault="00F91D12" w:rsidP="00F91D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F91D12" w:rsidRPr="00B30094" w:rsidRDefault="00F91D12" w:rsidP="00F91D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F91D12" w:rsidRPr="00B30094" w:rsidRDefault="00F91D12" w:rsidP="00F91D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:rsidR="00F91D12" w:rsidRPr="00B30094" w:rsidRDefault="00F91D12" w:rsidP="00F91D12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>Сумата на точките за всеки индикатор ще ни даде обща оценка за финансовата стабилност на кандидата.</w:t>
      </w:r>
    </w:p>
    <w:p w:rsidR="00F91D12" w:rsidRPr="00B30094" w:rsidRDefault="00F91D12" w:rsidP="00F91D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F91D12" w:rsidRPr="00B30094" w:rsidTr="00A348DF">
        <w:tc>
          <w:tcPr>
            <w:tcW w:w="3402" w:type="dxa"/>
            <w:vAlign w:val="center"/>
          </w:tcPr>
          <w:p w:rsidR="00F91D12" w:rsidRPr="00B30094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B300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:rsidR="00F91D12" w:rsidRPr="00B30094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B300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:rsidR="00F91D12" w:rsidRPr="00B30094" w:rsidRDefault="00F91D12" w:rsidP="00F91D12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B300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F91D12" w:rsidRPr="00B30094" w:rsidTr="00A348DF">
        <w:tc>
          <w:tcPr>
            <w:tcW w:w="3402" w:type="dxa"/>
            <w:vAlign w:val="center"/>
          </w:tcPr>
          <w:p w:rsidR="00F91D12" w:rsidRPr="00B30094" w:rsidRDefault="00F91D12" w:rsidP="00F91D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:rsidR="00F91D12" w:rsidRPr="00B30094" w:rsidRDefault="00F91D12" w:rsidP="00F91D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:rsidR="00F91D12" w:rsidRPr="00B30094" w:rsidRDefault="00F91D12" w:rsidP="00F91D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B3009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:rsidR="00F91D12" w:rsidRPr="00B30094" w:rsidRDefault="00F91D12" w:rsidP="00F91D12">
      <w:pPr>
        <w:numPr>
          <w:ilvl w:val="0"/>
          <w:numId w:val="11"/>
        </w:numPr>
        <w:spacing w:before="480" w:after="240" w:line="360" w:lineRule="auto"/>
        <w:ind w:left="714" w:hanging="357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Тълкуване на резултатите</w:t>
      </w:r>
    </w:p>
    <w:p w:rsidR="00F91D12" w:rsidRPr="00B30094" w:rsidRDefault="00F91D12" w:rsidP="00F91D1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>На основата на общата оценка кандидатите попадат в две основни категории:</w:t>
      </w:r>
    </w:p>
    <w:p w:rsidR="00F91D12" w:rsidRPr="00B30094" w:rsidRDefault="00F91D12" w:rsidP="00F91D1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b/>
          <w:sz w:val="24"/>
          <w:szCs w:val="24"/>
          <w:lang w:val="bg-BG"/>
        </w:rPr>
        <w:t>1. Добра финансова стабилност</w:t>
      </w:r>
    </w:p>
    <w:p w:rsidR="00F91D12" w:rsidRPr="00B30094" w:rsidRDefault="00F91D12" w:rsidP="00F91D12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lastRenderedPageBreak/>
        <w:t>Кандидатът демонстрира стабилен финансов профил. Изпълнени са условията за отпускане на безвъзмездна финансова помощ при нисък риск за средствата предоставяни от ЕС.</w:t>
      </w:r>
    </w:p>
    <w:p w:rsidR="00F91D12" w:rsidRPr="00B30094" w:rsidRDefault="00F91D12" w:rsidP="00F91D1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b/>
          <w:sz w:val="24"/>
          <w:szCs w:val="24"/>
          <w:lang w:val="bg-BG"/>
        </w:rPr>
        <w:t>2. Лоша финансова стабилност</w:t>
      </w:r>
    </w:p>
    <w:p w:rsidR="00F91D12" w:rsidRPr="00B30094" w:rsidRDefault="00F91D12" w:rsidP="00F91D1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0094">
        <w:rPr>
          <w:rFonts w:ascii="Times New Roman" w:hAnsi="Times New Roman" w:cs="Times New Roman"/>
          <w:sz w:val="24"/>
          <w:szCs w:val="24"/>
          <w:lang w:val="bg-BG"/>
        </w:rPr>
        <w:t>Оценителната комисия отхвърля проектното предложение на кандидата на етап „Административно съответствие и допустимост“.</w:t>
      </w:r>
    </w:p>
    <w:p w:rsidR="00C4321A" w:rsidRPr="00B30094" w:rsidRDefault="00C4321A" w:rsidP="00F91D12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  <w:lang w:val="bg-BG"/>
        </w:rPr>
      </w:pPr>
    </w:p>
    <w:sectPr w:rsidR="00C4321A" w:rsidRPr="00B30094" w:rsidSect="000229E1"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60B" w:rsidRDefault="0003560B" w:rsidP="00B938A0">
      <w:pPr>
        <w:spacing w:after="0" w:line="240" w:lineRule="auto"/>
      </w:pPr>
      <w:r>
        <w:separator/>
      </w:r>
    </w:p>
  </w:endnote>
  <w:endnote w:type="continuationSeparator" w:id="0">
    <w:p w:rsidR="0003560B" w:rsidRDefault="0003560B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60B" w:rsidRDefault="0003560B" w:rsidP="00B938A0">
      <w:pPr>
        <w:spacing w:after="0" w:line="240" w:lineRule="auto"/>
      </w:pPr>
      <w:r>
        <w:separator/>
      </w:r>
    </w:p>
  </w:footnote>
  <w:footnote w:type="continuationSeparator" w:id="0">
    <w:p w:rsidR="0003560B" w:rsidRDefault="0003560B" w:rsidP="00B938A0">
      <w:pPr>
        <w:spacing w:after="0" w:line="240" w:lineRule="auto"/>
      </w:pPr>
      <w:r>
        <w:continuationSeparator/>
      </w:r>
    </w:p>
  </w:footnote>
  <w:footnote w:id="1">
    <w:p w:rsidR="00F91D12" w:rsidRPr="007632C1" w:rsidRDefault="00F91D12" w:rsidP="00F91D12">
      <w:pPr>
        <w:pStyle w:val="af1"/>
        <w:rPr>
          <w:rFonts w:ascii="Times New Roman" w:hAnsi="Times New Roman" w:cs="Times New Roman"/>
          <w:lang w:val="bg-BG"/>
        </w:rPr>
      </w:pPr>
      <w:r>
        <w:rPr>
          <w:rStyle w:val="af3"/>
        </w:rPr>
        <w:footnoteRef/>
      </w:r>
      <w:r w:rsidRPr="007632C1">
        <w:rPr>
          <w:lang w:val="bg-BG"/>
        </w:rPr>
        <w:t xml:space="preserve"> </w:t>
      </w:r>
      <w:r w:rsidRPr="00DB4FBF">
        <w:rPr>
          <w:rFonts w:ascii="Times New Roman" w:hAnsi="Times New Roman" w:cs="Times New Roman"/>
          <w:lang w:val="bg-BG"/>
        </w:rPr>
        <w:t>Кодовете са данни от счетоводния баланс</w:t>
      </w:r>
    </w:p>
  </w:footnote>
  <w:footnote w:id="2">
    <w:p w:rsidR="00F91D12" w:rsidRPr="00DB4FBF" w:rsidRDefault="00F91D12" w:rsidP="00F91D12">
      <w:pPr>
        <w:pStyle w:val="af1"/>
        <w:rPr>
          <w:rFonts w:ascii="Times New Roman" w:hAnsi="Times New Roman" w:cs="Times New Roman"/>
          <w:lang w:val="bg-BG"/>
        </w:rPr>
      </w:pPr>
      <w:r w:rsidRPr="007632C1">
        <w:rPr>
          <w:rStyle w:val="af3"/>
          <w:rFonts w:ascii="Times New Roman" w:hAnsi="Times New Roman" w:cs="Times New Roman"/>
        </w:rPr>
        <w:footnoteRef/>
      </w:r>
      <w:r w:rsidRPr="007632C1">
        <w:rPr>
          <w:rFonts w:ascii="Times New Roman" w:hAnsi="Times New Roman" w:cs="Times New Roman"/>
          <w:lang w:val="bg-BG"/>
        </w:rPr>
        <w:t xml:space="preserve"> </w:t>
      </w:r>
      <w:r w:rsidRPr="00DB4FBF">
        <w:rPr>
          <w:rFonts w:ascii="Times New Roman" w:hAnsi="Times New Roman" w:cs="Times New Roman"/>
          <w:lang w:val="bg-BG"/>
        </w:rPr>
        <w:t xml:space="preserve">В случаите, когато </w:t>
      </w:r>
      <w:r w:rsidRPr="007632C1">
        <w:rPr>
          <w:rFonts w:ascii="Times New Roman" w:hAnsi="Times New Roman" w:cs="Times New Roman"/>
          <w:lang w:val="bg-BG"/>
        </w:rPr>
        <w:t>“</w:t>
      </w:r>
      <w:r w:rsidRPr="00DB4FBF">
        <w:rPr>
          <w:rFonts w:ascii="Times New Roman" w:hAnsi="Times New Roman" w:cs="Times New Roman"/>
          <w:lang w:val="bg-BG"/>
        </w:rPr>
        <w:t xml:space="preserve">Сума на Актива“ и „Сумата на Пасива“ е равна на „0“ е невъзможно изчислението на показателите за оценка на финансов капацитет, тъй като на „0“ не се дели. В тези случаи ще се счита, че кандидатът има лоша финансова стабилност. </w:t>
      </w:r>
    </w:p>
    <w:p w:rsidR="00F91D12" w:rsidRPr="007632C1" w:rsidRDefault="00F91D12" w:rsidP="00F91D12">
      <w:pPr>
        <w:pStyle w:val="af1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460"/>
    <w:rsid w:val="00011B1E"/>
    <w:rsid w:val="00016062"/>
    <w:rsid w:val="000229E1"/>
    <w:rsid w:val="00025870"/>
    <w:rsid w:val="000330D5"/>
    <w:rsid w:val="0003560B"/>
    <w:rsid w:val="00067A31"/>
    <w:rsid w:val="00074A0E"/>
    <w:rsid w:val="000C4B81"/>
    <w:rsid w:val="00102707"/>
    <w:rsid w:val="00106B39"/>
    <w:rsid w:val="00162BE1"/>
    <w:rsid w:val="00180B28"/>
    <w:rsid w:val="001B39F2"/>
    <w:rsid w:val="001D41F5"/>
    <w:rsid w:val="0020207C"/>
    <w:rsid w:val="002058F8"/>
    <w:rsid w:val="0021304A"/>
    <w:rsid w:val="00225277"/>
    <w:rsid w:val="00265F3F"/>
    <w:rsid w:val="00275BB5"/>
    <w:rsid w:val="002A2527"/>
    <w:rsid w:val="002E05D6"/>
    <w:rsid w:val="002E5988"/>
    <w:rsid w:val="00304175"/>
    <w:rsid w:val="00305095"/>
    <w:rsid w:val="00305CE0"/>
    <w:rsid w:val="003200C9"/>
    <w:rsid w:val="00330143"/>
    <w:rsid w:val="003A4DF2"/>
    <w:rsid w:val="003E50D7"/>
    <w:rsid w:val="003E5162"/>
    <w:rsid w:val="003F4DBC"/>
    <w:rsid w:val="00417DCE"/>
    <w:rsid w:val="004313F7"/>
    <w:rsid w:val="0045595E"/>
    <w:rsid w:val="00471FC2"/>
    <w:rsid w:val="00492ACD"/>
    <w:rsid w:val="00497A27"/>
    <w:rsid w:val="004E0E1E"/>
    <w:rsid w:val="004F2B1C"/>
    <w:rsid w:val="00540FE6"/>
    <w:rsid w:val="00550B6F"/>
    <w:rsid w:val="005615DB"/>
    <w:rsid w:val="005751E8"/>
    <w:rsid w:val="0057652F"/>
    <w:rsid w:val="005964EE"/>
    <w:rsid w:val="005A2CD6"/>
    <w:rsid w:val="005B1B90"/>
    <w:rsid w:val="005C3D7A"/>
    <w:rsid w:val="005E0E81"/>
    <w:rsid w:val="005E1B50"/>
    <w:rsid w:val="005E77DC"/>
    <w:rsid w:val="006007DA"/>
    <w:rsid w:val="006369D2"/>
    <w:rsid w:val="0066504F"/>
    <w:rsid w:val="00683044"/>
    <w:rsid w:val="006939C0"/>
    <w:rsid w:val="006A4C42"/>
    <w:rsid w:val="006A5DDC"/>
    <w:rsid w:val="00720EC0"/>
    <w:rsid w:val="00722AEE"/>
    <w:rsid w:val="007352C8"/>
    <w:rsid w:val="00754AE5"/>
    <w:rsid w:val="00786495"/>
    <w:rsid w:val="007A6DAD"/>
    <w:rsid w:val="007C36FB"/>
    <w:rsid w:val="007D4C04"/>
    <w:rsid w:val="007E39A3"/>
    <w:rsid w:val="007E79C0"/>
    <w:rsid w:val="00811432"/>
    <w:rsid w:val="00826A81"/>
    <w:rsid w:val="00852E58"/>
    <w:rsid w:val="00853BE3"/>
    <w:rsid w:val="008909E8"/>
    <w:rsid w:val="008951F9"/>
    <w:rsid w:val="008C4A97"/>
    <w:rsid w:val="008C56E2"/>
    <w:rsid w:val="008E4E52"/>
    <w:rsid w:val="00901460"/>
    <w:rsid w:val="0090257B"/>
    <w:rsid w:val="009264A6"/>
    <w:rsid w:val="00970883"/>
    <w:rsid w:val="00996CD1"/>
    <w:rsid w:val="009B6BA8"/>
    <w:rsid w:val="009C1D21"/>
    <w:rsid w:val="009E37BF"/>
    <w:rsid w:val="009E4DD1"/>
    <w:rsid w:val="009E6616"/>
    <w:rsid w:val="009F4130"/>
    <w:rsid w:val="009F7052"/>
    <w:rsid w:val="00A12002"/>
    <w:rsid w:val="00AC30D9"/>
    <w:rsid w:val="00B1472B"/>
    <w:rsid w:val="00B25DEA"/>
    <w:rsid w:val="00B30094"/>
    <w:rsid w:val="00B60166"/>
    <w:rsid w:val="00B92F46"/>
    <w:rsid w:val="00B938A0"/>
    <w:rsid w:val="00BA0182"/>
    <w:rsid w:val="00BA11D9"/>
    <w:rsid w:val="00BC35FC"/>
    <w:rsid w:val="00BD3499"/>
    <w:rsid w:val="00BD3655"/>
    <w:rsid w:val="00BE205E"/>
    <w:rsid w:val="00BF0B9A"/>
    <w:rsid w:val="00BF6ADB"/>
    <w:rsid w:val="00C01AC6"/>
    <w:rsid w:val="00C4321A"/>
    <w:rsid w:val="00C46FB4"/>
    <w:rsid w:val="00C502A1"/>
    <w:rsid w:val="00C96189"/>
    <w:rsid w:val="00CD287E"/>
    <w:rsid w:val="00CF1C47"/>
    <w:rsid w:val="00D10335"/>
    <w:rsid w:val="00D12140"/>
    <w:rsid w:val="00D2243D"/>
    <w:rsid w:val="00D274CD"/>
    <w:rsid w:val="00D52230"/>
    <w:rsid w:val="00D56C7A"/>
    <w:rsid w:val="00D84194"/>
    <w:rsid w:val="00D86AD8"/>
    <w:rsid w:val="00D90B7C"/>
    <w:rsid w:val="00D95438"/>
    <w:rsid w:val="00DC6AA5"/>
    <w:rsid w:val="00DE6775"/>
    <w:rsid w:val="00E15C50"/>
    <w:rsid w:val="00E441C4"/>
    <w:rsid w:val="00E83B40"/>
    <w:rsid w:val="00E905F5"/>
    <w:rsid w:val="00ED38A4"/>
    <w:rsid w:val="00ED4EF0"/>
    <w:rsid w:val="00F1576F"/>
    <w:rsid w:val="00F16FBC"/>
    <w:rsid w:val="00F31669"/>
    <w:rsid w:val="00F34A34"/>
    <w:rsid w:val="00F52830"/>
    <w:rsid w:val="00F63B61"/>
    <w:rsid w:val="00F66FFC"/>
    <w:rsid w:val="00F72A0E"/>
    <w:rsid w:val="00F91D12"/>
    <w:rsid w:val="00FC19CB"/>
    <w:rsid w:val="00FD54FA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E1738B-581B-4D96-872C-8E592E14A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aliases w:val="List Paragraph1,List1,List Paragraph11,List Paragraph111,Colorful List - Accent 11,List Paragraph1111,ПАРАГРАФ"/>
    <w:basedOn w:val="a"/>
    <w:link w:val="a4"/>
    <w:uiPriority w:val="34"/>
    <w:qFormat/>
    <w:rsid w:val="00901460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1B39F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B938A0"/>
  </w:style>
  <w:style w:type="paragraph" w:styleId="aa">
    <w:name w:val="footer"/>
    <w:basedOn w:val="a"/>
    <w:link w:val="ab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B938A0"/>
  </w:style>
  <w:style w:type="character" w:styleId="ac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F34A3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34A34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F34A34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2">
    <w:name w:val="Текст под линия Знак"/>
    <w:basedOn w:val="a0"/>
    <w:link w:val="af1"/>
    <w:uiPriority w:val="99"/>
    <w:semiHidden/>
    <w:rsid w:val="002E05D6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2E05D6"/>
    <w:rPr>
      <w:vertAlign w:val="superscript"/>
    </w:rPr>
  </w:style>
  <w:style w:type="paragraph" w:styleId="af4">
    <w:name w:val="Revision"/>
    <w:hidden/>
    <w:uiPriority w:val="99"/>
    <w:semiHidden/>
    <w:rsid w:val="00330143"/>
    <w:pPr>
      <w:spacing w:after="0" w:line="240" w:lineRule="auto"/>
    </w:pPr>
  </w:style>
  <w:style w:type="character" w:customStyle="1" w:styleId="a4">
    <w:name w:val="Списък на абзаци Знак"/>
    <w:aliases w:val="List Paragraph1 Знак,List1 Знак,List Paragraph11 Знак,List Paragraph111 Знак,Colorful List - Accent 11 Знак,List Paragraph1111 Знак,ПАРАГРАФ Знак"/>
    <w:link w:val="a3"/>
    <w:uiPriority w:val="34"/>
    <w:qFormat/>
    <w:locked/>
    <w:rsid w:val="00016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83DEC-CFA5-45B1-9106-51CB9D156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4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Gerov</dc:creator>
  <cp:lastModifiedBy>Fujitsu</cp:lastModifiedBy>
  <cp:revision>106</cp:revision>
  <cp:lastPrinted>2017-05-09T07:27:00Z</cp:lastPrinted>
  <dcterms:created xsi:type="dcterms:W3CDTF">2015-05-14T13:29:00Z</dcterms:created>
  <dcterms:modified xsi:type="dcterms:W3CDTF">2020-01-06T10:04:00Z</dcterms:modified>
</cp:coreProperties>
</file>